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D214B0" w:rsidRDefault="00E53D7E" w:rsidP="00E53D7E">
      <w:pPr>
        <w:pStyle w:val="BodyText"/>
        <w:spacing w:before="115" w:line="100" w:lineRule="atLeast"/>
        <w:ind w:right="0"/>
        <w:jc w:val="right"/>
        <w:rPr>
          <w:color w:val="222222"/>
        </w:rPr>
      </w:pPr>
      <w:r>
        <w:rPr>
          <w:b/>
          <w:bCs/>
          <w:caps/>
          <w:color w:val="000000"/>
        </w:rPr>
        <w:t>Annexure 12</w:t>
      </w:r>
      <w:r w:rsidRPr="00D214B0">
        <w:rPr>
          <w:b/>
          <w:bCs/>
          <w:caps/>
          <w:color w:val="000000"/>
        </w:rPr>
        <w:t xml:space="preserve"> (a)</w:t>
      </w:r>
    </w:p>
    <w:p w:rsidR="00E53D7E" w:rsidRPr="00054400" w:rsidRDefault="00E53D7E" w:rsidP="00E53D7E">
      <w:pPr>
        <w:spacing w:after="0" w:line="240" w:lineRule="auto"/>
        <w:jc w:val="center"/>
        <w:rPr>
          <w:b/>
          <w:color w:val="222222"/>
          <w:sz w:val="24"/>
          <w:szCs w:val="24"/>
        </w:rPr>
      </w:pPr>
      <w:r w:rsidRPr="00054400">
        <w:rPr>
          <w:b/>
          <w:color w:val="222222"/>
          <w:sz w:val="24"/>
          <w:szCs w:val="24"/>
        </w:rPr>
        <w:t>Check-list (A)</w:t>
      </w:r>
    </w:p>
    <w:p w:rsidR="00E53D7E" w:rsidRPr="00054400" w:rsidRDefault="00E53D7E" w:rsidP="00E53D7E">
      <w:pPr>
        <w:spacing w:after="0" w:line="240" w:lineRule="auto"/>
        <w:jc w:val="center"/>
        <w:rPr>
          <w:color w:val="222222"/>
          <w:sz w:val="24"/>
          <w:szCs w:val="24"/>
        </w:rPr>
      </w:pPr>
      <w:r w:rsidRPr="00054400">
        <w:rPr>
          <w:color w:val="222222"/>
          <w:sz w:val="24"/>
          <w:szCs w:val="24"/>
        </w:rPr>
        <w:t xml:space="preserve">(Please ensure to </w:t>
      </w:r>
      <w:r>
        <w:rPr>
          <w:color w:val="222222"/>
          <w:sz w:val="24"/>
          <w:szCs w:val="24"/>
        </w:rPr>
        <w:t xml:space="preserve">carefully </w:t>
      </w:r>
      <w:r w:rsidRPr="00054400">
        <w:rPr>
          <w:color w:val="222222"/>
          <w:sz w:val="24"/>
          <w:szCs w:val="24"/>
        </w:rPr>
        <w:t xml:space="preserve">check the following before submission of the </w:t>
      </w:r>
    </w:p>
    <w:p w:rsidR="00E53D7E" w:rsidRPr="00054400" w:rsidRDefault="00E53D7E" w:rsidP="00E53D7E">
      <w:pPr>
        <w:spacing w:after="0" w:line="240" w:lineRule="auto"/>
        <w:jc w:val="center"/>
        <w:rPr>
          <w:color w:val="222222"/>
          <w:sz w:val="24"/>
          <w:szCs w:val="24"/>
        </w:rPr>
      </w:pPr>
      <w:r w:rsidRPr="00054400">
        <w:rPr>
          <w:color w:val="222222"/>
          <w:sz w:val="24"/>
          <w:szCs w:val="24"/>
        </w:rPr>
        <w:t xml:space="preserve">Bill </w:t>
      </w:r>
      <w:r>
        <w:rPr>
          <w:color w:val="222222"/>
          <w:sz w:val="24"/>
          <w:szCs w:val="24"/>
        </w:rPr>
        <w:t xml:space="preserve">to the </w:t>
      </w:r>
      <w:r w:rsidRPr="00054400">
        <w:rPr>
          <w:color w:val="222222"/>
          <w:sz w:val="24"/>
          <w:szCs w:val="24"/>
        </w:rPr>
        <w:t>Finance</w:t>
      </w:r>
      <w:r>
        <w:rPr>
          <w:color w:val="222222"/>
          <w:sz w:val="24"/>
          <w:szCs w:val="24"/>
        </w:rPr>
        <w:t xml:space="preserve"> office</w:t>
      </w:r>
      <w:r w:rsidRPr="00054400">
        <w:rPr>
          <w:color w:val="222222"/>
          <w:sz w:val="24"/>
          <w:szCs w:val="24"/>
        </w:rPr>
        <w:t>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80"/>
        <w:gridCol w:w="8550"/>
        <w:gridCol w:w="34"/>
        <w:gridCol w:w="776"/>
      </w:tblGrid>
      <w:tr w:rsidR="00E53D7E" w:rsidRPr="00054400" w:rsidTr="008C3C96">
        <w:trPr>
          <w:trHeight w:val="390"/>
        </w:trPr>
        <w:tc>
          <w:tcPr>
            <w:tcW w:w="738" w:type="dxa"/>
            <w:gridSpan w:val="2"/>
          </w:tcPr>
          <w:p w:rsidR="00E53D7E" w:rsidRPr="00054400" w:rsidRDefault="00E53D7E" w:rsidP="008C3C9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b/>
                <w:color w:val="222222"/>
                <w:sz w:val="20"/>
              </w:rPr>
              <w:t>S.N.</w:t>
            </w:r>
          </w:p>
        </w:tc>
        <w:tc>
          <w:tcPr>
            <w:tcW w:w="8584" w:type="dxa"/>
            <w:gridSpan w:val="2"/>
          </w:tcPr>
          <w:p w:rsidR="00E53D7E" w:rsidRPr="00054400" w:rsidRDefault="00E53D7E" w:rsidP="008C3C9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b/>
                <w:color w:val="222222"/>
                <w:sz w:val="20"/>
              </w:rPr>
              <w:t>Particular</w:t>
            </w:r>
          </w:p>
        </w:tc>
        <w:tc>
          <w:tcPr>
            <w:tcW w:w="776" w:type="dxa"/>
          </w:tcPr>
          <w:p w:rsidR="00E53D7E" w:rsidRPr="00054400" w:rsidRDefault="00E53D7E" w:rsidP="008C3C9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b/>
                <w:color w:val="222222"/>
                <w:sz w:val="20"/>
              </w:rPr>
              <w:t>Yes</w:t>
            </w:r>
          </w:p>
        </w:tc>
      </w:tr>
      <w:tr w:rsidR="00E53D7E" w:rsidRPr="00054400" w:rsidTr="008C3C96">
        <w:trPr>
          <w:trHeight w:val="338"/>
        </w:trPr>
        <w:tc>
          <w:tcPr>
            <w:tcW w:w="10098" w:type="dxa"/>
            <w:gridSpan w:val="5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b/>
                <w:color w:val="222222"/>
                <w:sz w:val="20"/>
              </w:rPr>
              <w:t>FOR PROCUREMENT OF GOODS AND SERVICES</w:t>
            </w:r>
          </w:p>
        </w:tc>
      </w:tr>
      <w:tr w:rsidR="00E53D7E" w:rsidRPr="00054400" w:rsidTr="008C3C96">
        <w:trPr>
          <w:trHeight w:val="818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1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Purchase Book and Stock Book entry (as the case may be)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 GFR certificate, signature of store keeper / project personnel with date, signature of the DDO with seal and date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have been provided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on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the 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supplier's bill [(GFR-2017 Rule 208 (ii)]  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233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2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The supplier's bill in GST invoice/ bill of supply (as the case may be) attached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593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3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Purchase order with details of items required, rate, quantity and total amount along with proper terms and conditions.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260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4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</w:rPr>
              <w:t>The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supplier's bill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 is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in accordance with the purchase order 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656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5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The AR-37 is properly stamped and signed with date by the DDO.  It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includes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dispatch number, date, Major and Minor Budget Head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 details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, Proper name of the recipient and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the other columns on 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top-right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of the form are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filled in properly.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1367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6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In case of Advance Bill; column No. 9 of the advance form is filled in properly with EID number of the responsible person in addition to other columns viz. details of advance / adjustment / purpose etc.  A statement of expected expenditures is also enclosed.  The advance is properly entered in advance register and the details of the same have been mentioned on the AR-37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form 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with seal and signature of the DDO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 together with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date.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1052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7.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In case of GeM procurement, GeM generated comparative statement, copy of the Contract, Copy of the GST Invoice, CRAC (Consignee Receipt and Acceptance Certificate) are enclosed. 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S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ignature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s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of DPC/HOD/DDO (as the case may be) on each of above document ha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ve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been obtained with stamp and date (GFR-2017 Rule 149 (vii)]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990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8.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In case of LTC Procurement / E-procurement, e-publishi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ng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has been done and the signature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s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of LTC/OTC/HOD/DDO (as the case may be) ha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ve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been obtained on each document with seal and signature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with date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of DDO.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990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9.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In case of proprietary procurement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, the 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specific proprietary certificate from the manufacturer alongwith Annexure-7 of the purchase procedure duly stamped and signed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with date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by the DDO with the approval of DPC/LTC/OTC (as the case may be) is enclosed  [GFR -2017 (Rules 166)] 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64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10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In case of Equipment; the installation certificate is enclosed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677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11.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In case of foreign procurement : Form A-1, A-2, 15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 CA &amp; CB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(wherever required) and undertaking are duly filled-in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 and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enclosed 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557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12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Any cutting and overwriting should be strictly avoided; further, if any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 xml:space="preserve"> cutting/over-writing has occurred, due to unav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oidable circumstances, it must be countersigned 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by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the DDO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  <w:tr w:rsidR="00E53D7E" w:rsidRPr="00054400" w:rsidTr="008C3C96">
        <w:trPr>
          <w:trHeight w:val="152"/>
        </w:trPr>
        <w:tc>
          <w:tcPr>
            <w:tcW w:w="558" w:type="dxa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13</w:t>
            </w:r>
          </w:p>
        </w:tc>
        <w:tc>
          <w:tcPr>
            <w:tcW w:w="873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>Copy of sanction letter</w:t>
            </w:r>
            <w:r>
              <w:rPr>
                <w:rFonts w:ascii="Times New Roman" w:hAnsi="Times New Roman" w:cs="Times New Roman"/>
                <w:color w:val="222222"/>
                <w:sz w:val="20"/>
              </w:rPr>
              <w:t>, if relevant,</w:t>
            </w:r>
            <w:r w:rsidRPr="00054400">
              <w:rPr>
                <w:rFonts w:ascii="Times New Roman" w:hAnsi="Times New Roman" w:cs="Times New Roman"/>
                <w:color w:val="222222"/>
                <w:sz w:val="20"/>
              </w:rPr>
              <w:t xml:space="preserve"> is enclosed </w:t>
            </w:r>
          </w:p>
        </w:tc>
        <w:tc>
          <w:tcPr>
            <w:tcW w:w="810" w:type="dxa"/>
            <w:gridSpan w:val="2"/>
          </w:tcPr>
          <w:p w:rsidR="00E53D7E" w:rsidRPr="00054400" w:rsidRDefault="00E53D7E" w:rsidP="008C3C96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</w:rPr>
            </w:pPr>
          </w:p>
        </w:tc>
      </w:tr>
    </w:tbl>
    <w:p w:rsidR="00E53D7E" w:rsidRDefault="00E53D7E" w:rsidP="00E53D7E">
      <w:pPr>
        <w:jc w:val="right"/>
        <w:rPr>
          <w:rFonts w:cs="Arial"/>
          <w:b/>
          <w:bCs/>
          <w:caps/>
          <w:color w:val="000000"/>
          <w:u w:val="single"/>
        </w:rPr>
      </w:pPr>
    </w:p>
    <w:p w:rsidR="005D5CB9" w:rsidRDefault="005D5CB9">
      <w:pPr>
        <w:rPr>
          <w:rFonts w:cs="Arial"/>
          <w:b/>
          <w:bCs/>
          <w:caps/>
          <w:color w:val="000000"/>
          <w:u w:val="single"/>
        </w:rPr>
      </w:pPr>
    </w:p>
    <w:sectPr w:rsidR="005D5CB9" w:rsidSect="00184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C4" w:rsidRDefault="00E026C4" w:rsidP="00E53D7E">
      <w:pPr>
        <w:spacing w:after="0" w:line="240" w:lineRule="auto"/>
      </w:pPr>
      <w:r>
        <w:separator/>
      </w:r>
    </w:p>
  </w:endnote>
  <w:endnote w:type="continuationSeparator" w:id="1">
    <w:p w:rsidR="00E026C4" w:rsidRDefault="00E026C4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C4" w:rsidRDefault="00E026C4" w:rsidP="00E53D7E">
      <w:pPr>
        <w:spacing w:after="0" w:line="240" w:lineRule="auto"/>
      </w:pPr>
      <w:r>
        <w:separator/>
      </w:r>
    </w:p>
  </w:footnote>
  <w:footnote w:type="continuationSeparator" w:id="1">
    <w:p w:rsidR="00E026C4" w:rsidRDefault="00E026C4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7E"/>
    <w:rsid w:val="00245924"/>
    <w:rsid w:val="0033190B"/>
    <w:rsid w:val="003F511B"/>
    <w:rsid w:val="005003B6"/>
    <w:rsid w:val="0056109B"/>
    <w:rsid w:val="005D5CB9"/>
    <w:rsid w:val="007451E4"/>
    <w:rsid w:val="009769A6"/>
    <w:rsid w:val="009F6036"/>
    <w:rsid w:val="00A633BD"/>
    <w:rsid w:val="00AA4A9C"/>
    <w:rsid w:val="00BE39EE"/>
    <w:rsid w:val="00D91EF7"/>
    <w:rsid w:val="00E026C4"/>
    <w:rsid w:val="00E53D7E"/>
    <w:rsid w:val="00E94B85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2018-10-31T13:30:00Z</dcterms:created>
  <dcterms:modified xsi:type="dcterms:W3CDTF">2018-10-31T13:30:00Z</dcterms:modified>
</cp:coreProperties>
</file>